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996636" w:rsidP="00CD41C1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63228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63228">
        <w:rPr>
          <w:rFonts w:ascii="Garamond" w:hAnsi="Garamond" w:cs="Arial"/>
          <w:b/>
          <w:bCs/>
          <w:lang w:eastAsia="en-GB"/>
        </w:rPr>
        <w:t>The Role</w:t>
      </w:r>
    </w:p>
    <w:p w:rsidR="0059728C" w:rsidRPr="00000267" w:rsidRDefault="00996636" w:rsidP="00996636">
      <w:pPr>
        <w:rPr>
          <w:rFonts w:ascii="Garamond" w:hAnsi="Garamond"/>
          <w:b/>
          <w:sz w:val="28"/>
        </w:rPr>
      </w:pPr>
      <w:r w:rsidRPr="00963228">
        <w:rPr>
          <w:rFonts w:ascii="Garamond" w:hAnsi="Garamond"/>
          <w:sz w:val="21"/>
        </w:rPr>
        <w:t xml:space="preserve">The </w:t>
      </w:r>
      <w:r w:rsidR="00000267">
        <w:rPr>
          <w:rFonts w:ascii="Garamond" w:hAnsi="Garamond"/>
          <w:b/>
          <w:sz w:val="28"/>
        </w:rPr>
        <w:t xml:space="preserve">Bar </w:t>
      </w:r>
      <w:proofErr w:type="gramStart"/>
      <w:r w:rsidR="00000267">
        <w:rPr>
          <w:rFonts w:ascii="Garamond" w:hAnsi="Garamond"/>
          <w:b/>
          <w:sz w:val="28"/>
        </w:rPr>
        <w:t xml:space="preserve">Supervisor </w:t>
      </w:r>
      <w:r w:rsidRPr="00963228">
        <w:rPr>
          <w:rFonts w:ascii="Garamond" w:hAnsi="Garamond"/>
          <w:b/>
          <w:sz w:val="21"/>
        </w:rPr>
        <w:t xml:space="preserve"> </w:t>
      </w:r>
      <w:r w:rsidRPr="00963228">
        <w:rPr>
          <w:rFonts w:ascii="Garamond" w:hAnsi="Garamond"/>
          <w:sz w:val="21"/>
        </w:rPr>
        <w:t>will</w:t>
      </w:r>
      <w:proofErr w:type="gramEnd"/>
      <w:r w:rsidRPr="00963228">
        <w:rPr>
          <w:rFonts w:ascii="Garamond" w:hAnsi="Garamond"/>
          <w:sz w:val="21"/>
        </w:rPr>
        <w:t xml:space="preserve"> be part of </w:t>
      </w:r>
      <w:r w:rsidR="009F6C19" w:rsidRPr="00963228">
        <w:rPr>
          <w:rFonts w:ascii="Garamond" w:hAnsi="Garamond"/>
          <w:sz w:val="21"/>
        </w:rPr>
        <w:t xml:space="preserve">the </w:t>
      </w:r>
      <w:r w:rsidR="007E7A62">
        <w:rPr>
          <w:rFonts w:ascii="Garamond" w:hAnsi="Garamond"/>
          <w:sz w:val="21"/>
        </w:rPr>
        <w:t>Farmer, Butcher, Chef at the Goodwood Hotel.</w:t>
      </w:r>
    </w:p>
    <w:p w:rsidR="00996636" w:rsidRPr="00963228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63228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963228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963228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63228">
        <w:rPr>
          <w:rFonts w:ascii="Garamond" w:hAnsi="Garamond"/>
          <w:b/>
        </w:rPr>
        <w:t>Purpose of the role</w:t>
      </w:r>
    </w:p>
    <w:p w:rsidR="00996636" w:rsidRPr="00963228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963228" w:rsidRDefault="00000267" w:rsidP="00996636">
      <w:pPr>
        <w:jc w:val="both"/>
        <w:rPr>
          <w:rFonts w:ascii="Garamond" w:hAnsi="Garamond"/>
        </w:rPr>
      </w:pPr>
      <w:r>
        <w:rPr>
          <w:rFonts w:ascii="Garamond" w:hAnsi="Garamond"/>
        </w:rPr>
        <w:t>You will be r</w:t>
      </w:r>
      <w:r w:rsidR="009F6C19" w:rsidRPr="00963228">
        <w:rPr>
          <w:rFonts w:ascii="Garamond" w:hAnsi="Garamond"/>
        </w:rPr>
        <w:t xml:space="preserve">esponsible for providing an exceptional experience for customers to the </w:t>
      </w:r>
      <w:r w:rsidR="007E7A62">
        <w:rPr>
          <w:rFonts w:ascii="Garamond" w:hAnsi="Garamond"/>
        </w:rPr>
        <w:t>Farmer, Butcher, Chef</w:t>
      </w:r>
      <w:r w:rsidR="009F6C19" w:rsidRPr="00963228">
        <w:rPr>
          <w:rFonts w:ascii="Garamond" w:hAnsi="Garamond"/>
        </w:rPr>
        <w:t xml:space="preserve"> Bar, offering a warm welcome and friendly, enthusiastic service. To supervise the </w:t>
      </w:r>
      <w:r w:rsidR="00963228" w:rsidRPr="00963228">
        <w:rPr>
          <w:rFonts w:ascii="Garamond" w:hAnsi="Garamond"/>
        </w:rPr>
        <w:t xml:space="preserve">bar team and offer training and development support where necessary. </w:t>
      </w:r>
    </w:p>
    <w:p w:rsidR="00996636" w:rsidRPr="00963228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63228">
        <w:rPr>
          <w:rFonts w:ascii="Garamond" w:hAnsi="Garamond"/>
          <w:b/>
        </w:rPr>
        <w:t>Key responsibilities</w:t>
      </w:r>
    </w:p>
    <w:p w:rsidR="00996636" w:rsidRPr="00963228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658FD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 xml:space="preserve">To serve drinks to customers in a friendly and helpful manner; 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be knowledgeable about the beverage offerings, maximising upselling opportunities where possible;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maintain the bar area to a high standard by ensuring that front and back of house areas are clean and tidy;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keep track of stock levels and order additional items as and when required;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Follow the correct procedures for opening and closing the bar;</w:t>
      </w:r>
    </w:p>
    <w:p w:rsidR="009F6C19" w:rsidRPr="00963228" w:rsidRDefault="009F6C19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assist in the supervision of the team and ensure all duties are carried out as required</w:t>
      </w:r>
      <w:r w:rsidR="00963228" w:rsidRPr="00963228">
        <w:rPr>
          <w:rFonts w:ascii="Garamond" w:hAnsi="Garamond"/>
        </w:rPr>
        <w:t>;</w:t>
      </w:r>
    </w:p>
    <w:p w:rsidR="00963228" w:rsidRPr="00963228" w:rsidRDefault="00963228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be fully conversant with the Licensing Act 2003 and the Weights &amp; Measures Act 1963 and any recent updates;</w:t>
      </w:r>
    </w:p>
    <w:p w:rsidR="00963228" w:rsidRDefault="00963228" w:rsidP="0096322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Any other duties which may be reasonably requested by the </w:t>
      </w:r>
      <w:r w:rsidR="007E7A62">
        <w:rPr>
          <w:rFonts w:ascii="Garamond" w:hAnsi="Garamond"/>
        </w:rPr>
        <w:t>Farmer, Butcher, Chef</w:t>
      </w:r>
      <w:bookmarkStart w:id="0" w:name="_GoBack"/>
      <w:bookmarkEnd w:id="0"/>
      <w:r>
        <w:rPr>
          <w:rFonts w:ascii="Garamond" w:hAnsi="Garamond"/>
        </w:rPr>
        <w:t xml:space="preserve"> Restaurant Manager.</w:t>
      </w:r>
    </w:p>
    <w:p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000267" w:rsidRDefault="00000267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000267" w:rsidRDefault="00000267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963228" w:rsidRDefault="00963228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63228" w:rsidSect="00963228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963228" w:rsidRDefault="005658FD" w:rsidP="0096322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63228" w:rsidRDefault="00963228" w:rsidP="00996636">
      <w:pPr>
        <w:spacing w:after="0" w:line="240" w:lineRule="auto"/>
        <w:rPr>
          <w:rFonts w:ascii="Garamond" w:hAnsi="Garamond"/>
        </w:rPr>
        <w:sectPr w:rsidR="00963228" w:rsidSect="00963228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000267" w:rsidRDefault="00000267" w:rsidP="00996636">
      <w:pPr>
        <w:spacing w:after="0" w:line="240" w:lineRule="auto"/>
        <w:rPr>
          <w:rFonts w:ascii="Garamond" w:hAnsi="Garamond"/>
        </w:rPr>
      </w:pPr>
    </w:p>
    <w:p w:rsidR="00000267" w:rsidRDefault="00000267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Ability to anticipate guest needs and exceed expectations</w:t>
      </w:r>
    </w:p>
    <w:p w:rsidR="00963228" w:rsidRP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Previous experience of working in a similar role</w:t>
      </w:r>
    </w:p>
    <w:p w:rsidR="00963228" w:rsidRP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be knowledgeable about the beverage offerings, maximising upselling opportunities where possible;</w:t>
      </w: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963228">
        <w:rPr>
          <w:rFonts w:ascii="Garamond" w:hAnsi="Garamond"/>
        </w:rPr>
        <w:t>To maintain the bar area to a high standard by ensuring that front and back of house areas are clean and tidy;</w:t>
      </w: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Fluent in the English language;</w:t>
      </w: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Experience of managing or supervising a team would be advantageous;</w:t>
      </w:r>
    </w:p>
    <w:p w:rsidR="00963228" w:rsidRDefault="00963228" w:rsidP="0096322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Own or reliable transport is essential due to the rural location of Goodwood.</w:t>
      </w:r>
    </w:p>
    <w:p w:rsidR="00963228" w:rsidRDefault="00963228" w:rsidP="00996636">
      <w:pPr>
        <w:spacing w:after="0" w:line="240" w:lineRule="auto"/>
        <w:rPr>
          <w:rFonts w:ascii="Garamond" w:hAnsi="Garamond"/>
          <w:b/>
        </w:rPr>
      </w:pPr>
    </w:p>
    <w:p w:rsidR="00000267" w:rsidRDefault="00000267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96322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E0B"/>
    <w:multiLevelType w:val="hybridMultilevel"/>
    <w:tmpl w:val="6EAAD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2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5C0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6E3F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FFA1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8D1799"/>
    <w:multiLevelType w:val="hybridMultilevel"/>
    <w:tmpl w:val="AA146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00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E71E00"/>
    <w:multiLevelType w:val="multilevel"/>
    <w:tmpl w:val="DCF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21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12"/>
  </w:num>
  <w:num w:numId="18">
    <w:abstractNumId w:val="9"/>
  </w:num>
  <w:num w:numId="19">
    <w:abstractNumId w:val="16"/>
  </w:num>
  <w:num w:numId="20">
    <w:abstractNumId w:val="19"/>
  </w:num>
  <w:num w:numId="21">
    <w:abstractNumId w:val="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00267"/>
    <w:rsid w:val="00010D72"/>
    <w:rsid w:val="00011D40"/>
    <w:rsid w:val="000366E6"/>
    <w:rsid w:val="0007684A"/>
    <w:rsid w:val="00097D67"/>
    <w:rsid w:val="000A13EE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62513F"/>
    <w:rsid w:val="00682152"/>
    <w:rsid w:val="00707538"/>
    <w:rsid w:val="00755871"/>
    <w:rsid w:val="007E7A62"/>
    <w:rsid w:val="008125FC"/>
    <w:rsid w:val="008611E6"/>
    <w:rsid w:val="00876F59"/>
    <w:rsid w:val="00877F3D"/>
    <w:rsid w:val="009047A2"/>
    <w:rsid w:val="00963228"/>
    <w:rsid w:val="009840B7"/>
    <w:rsid w:val="009842B4"/>
    <w:rsid w:val="00995E02"/>
    <w:rsid w:val="00996636"/>
    <w:rsid w:val="009968D9"/>
    <w:rsid w:val="009A7D45"/>
    <w:rsid w:val="009C2C4E"/>
    <w:rsid w:val="009F5B1F"/>
    <w:rsid w:val="009F6C19"/>
    <w:rsid w:val="00A37E70"/>
    <w:rsid w:val="00A869DC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A081D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D2BC"/>
  <w15:docId w15:val="{CE6F24DC-29A1-4A27-9DEA-6ADBD3F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9F6C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F6C19"/>
    <w:rPr>
      <w:rFonts w:ascii="Times New Roman" w:eastAsia="Times New Roman" w:hAnsi="Times New Roman"/>
      <w:b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4</cp:revision>
  <cp:lastPrinted>2014-07-28T16:00:00Z</cp:lastPrinted>
  <dcterms:created xsi:type="dcterms:W3CDTF">2016-02-05T16:03:00Z</dcterms:created>
  <dcterms:modified xsi:type="dcterms:W3CDTF">2017-02-24T13:29:00Z</dcterms:modified>
</cp:coreProperties>
</file>